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36FC" w14:textId="0927348C" w:rsidR="00F333B5" w:rsidRPr="006E609F" w:rsidRDefault="00F333B5" w:rsidP="00F333B5">
      <w:pPr>
        <w:jc w:val="center"/>
        <w:rPr>
          <w:color w:val="01035B"/>
          <w:sz w:val="32"/>
          <w:szCs w:val="32"/>
        </w:rPr>
      </w:pPr>
      <w:r>
        <w:rPr>
          <w:noProof/>
        </w:rPr>
        <w:drawing>
          <wp:inline distT="0" distB="0" distL="0" distR="0" wp14:anchorId="64C08DFF" wp14:editId="7855A851">
            <wp:extent cx="1038225" cy="704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31B9" w14:textId="77777777" w:rsidR="00F333B5" w:rsidRDefault="00F333B5" w:rsidP="00F333B5">
      <w:pPr>
        <w:jc w:val="center"/>
        <w:rPr>
          <w:b/>
          <w:bCs/>
          <w:color w:val="01035B"/>
          <w:sz w:val="32"/>
          <w:szCs w:val="32"/>
        </w:rPr>
      </w:pPr>
    </w:p>
    <w:p w14:paraId="27814752" w14:textId="77777777" w:rsidR="00F333B5" w:rsidRPr="00E83A78" w:rsidRDefault="00F333B5" w:rsidP="00120151">
      <w:pPr>
        <w:jc w:val="center"/>
        <w:rPr>
          <w:b/>
          <w:bCs/>
          <w:color w:val="01035B"/>
          <w:sz w:val="18"/>
          <w:szCs w:val="18"/>
        </w:rPr>
      </w:pPr>
    </w:p>
    <w:p w14:paraId="2599E8B6" w14:textId="43F268D4" w:rsidR="00F333B5" w:rsidRDefault="00120151" w:rsidP="00120151">
      <w:pPr>
        <w:jc w:val="center"/>
        <w:rPr>
          <w:b/>
          <w:bCs/>
          <w:color w:val="01035B"/>
          <w:sz w:val="32"/>
          <w:szCs w:val="32"/>
        </w:rPr>
      </w:pPr>
      <w:r>
        <w:rPr>
          <w:b/>
          <w:bCs/>
          <w:color w:val="01035B"/>
          <w:sz w:val="32"/>
          <w:szCs w:val="32"/>
        </w:rPr>
        <w:t>Escuela de Todos</w:t>
      </w:r>
    </w:p>
    <w:p w14:paraId="1C815261" w14:textId="00718290" w:rsidR="00F333B5" w:rsidRPr="006E609F" w:rsidRDefault="00F333B5" w:rsidP="00120151">
      <w:pPr>
        <w:jc w:val="center"/>
        <w:rPr>
          <w:color w:val="01035B"/>
          <w:sz w:val="32"/>
          <w:szCs w:val="32"/>
        </w:rPr>
      </w:pPr>
      <w:r>
        <w:rPr>
          <w:b/>
          <w:bCs/>
          <w:color w:val="01035B"/>
          <w:sz w:val="32"/>
          <w:szCs w:val="32"/>
        </w:rPr>
        <w:t xml:space="preserve">prueba el incumplimiento de la sentencia </w:t>
      </w:r>
      <w:r w:rsidRPr="006E609F">
        <w:rPr>
          <w:b/>
          <w:bCs/>
          <w:color w:val="01035B"/>
          <w:sz w:val="32"/>
          <w:szCs w:val="32"/>
        </w:rPr>
        <w:t>del 25%</w:t>
      </w:r>
      <w:r>
        <w:rPr>
          <w:b/>
          <w:bCs/>
          <w:color w:val="01035B"/>
          <w:sz w:val="32"/>
          <w:szCs w:val="32"/>
        </w:rPr>
        <w:t xml:space="preserve"> </w:t>
      </w:r>
      <w:r w:rsidR="00120151">
        <w:rPr>
          <w:b/>
          <w:bCs/>
          <w:color w:val="01035B"/>
          <w:sz w:val="32"/>
          <w:szCs w:val="32"/>
        </w:rPr>
        <w:t>y exige, con el apoyo de 1643 familias, la ejecucion forzosa al TSJC</w:t>
      </w:r>
    </w:p>
    <w:p w14:paraId="284218EC" w14:textId="77777777" w:rsidR="00F333B5" w:rsidRPr="008F63CF" w:rsidRDefault="00F333B5" w:rsidP="00F333B5">
      <w:pPr>
        <w:jc w:val="center"/>
        <w:rPr>
          <w:color w:val="01035B"/>
          <w:sz w:val="32"/>
          <w:szCs w:val="32"/>
        </w:rPr>
      </w:pPr>
    </w:p>
    <w:p w14:paraId="0AC2ECBB" w14:textId="765F6692" w:rsidR="00F333B5" w:rsidRDefault="00F333B5" w:rsidP="00F333B5">
      <w:pPr>
        <w:rPr>
          <w:rFonts w:eastAsia="Calibri" w:cs="Times New Roman"/>
          <w:color w:val="000000"/>
          <w:sz w:val="26"/>
          <w:szCs w:val="26"/>
          <w:lang w:val="es-ES"/>
        </w:rPr>
      </w:pPr>
      <w:r w:rsidRPr="008F63CF">
        <w:rPr>
          <w:sz w:val="26"/>
          <w:szCs w:val="26"/>
        </w:rPr>
        <w:t>La Asamblea por una Escuela Bilingüe de Cataluña (AEB),</w:t>
      </w:r>
      <w:r w:rsidR="00120151">
        <w:rPr>
          <w:sz w:val="26"/>
          <w:szCs w:val="26"/>
        </w:rPr>
        <w:t xml:space="preserve"> que lidera </w:t>
      </w:r>
      <w:r w:rsidR="00120151" w:rsidRPr="00120151">
        <w:rPr>
          <w:b/>
          <w:bCs/>
          <w:sz w:val="26"/>
          <w:szCs w:val="26"/>
        </w:rPr>
        <w:t>Escuela de Todos</w:t>
      </w:r>
      <w:r w:rsidR="00120151">
        <w:rPr>
          <w:b/>
          <w:bCs/>
          <w:sz w:val="26"/>
          <w:szCs w:val="26"/>
        </w:rPr>
        <w:t>/ Escola de Tothom</w:t>
      </w:r>
      <w:r w:rsidR="00120151" w:rsidRPr="00120151">
        <w:rPr>
          <w:b/>
          <w:bCs/>
          <w:sz w:val="26"/>
          <w:szCs w:val="26"/>
        </w:rPr>
        <w:t>,</w:t>
      </w:r>
      <w:r w:rsidRPr="00F43586">
        <w:rPr>
          <w:sz w:val="26"/>
          <w:szCs w:val="26"/>
        </w:rPr>
        <w:t xml:space="preserve"> ha presentado hoy solicitud de </w:t>
      </w:r>
      <w:r w:rsidRPr="007B4416">
        <w:rPr>
          <w:b/>
          <w:bCs/>
          <w:sz w:val="26"/>
          <w:szCs w:val="26"/>
        </w:rPr>
        <w:t>ejecución forzosa</w:t>
      </w:r>
      <w:r w:rsidRPr="00F43586">
        <w:rPr>
          <w:sz w:val="26"/>
          <w:szCs w:val="26"/>
        </w:rPr>
        <w:t xml:space="preserve"> </w:t>
      </w:r>
      <w:r w:rsidRPr="00F43586">
        <w:rPr>
          <w:rFonts w:eastAsia="Calibri" w:cs="Times New Roman"/>
          <w:color w:val="000000"/>
          <w:sz w:val="26"/>
          <w:szCs w:val="26"/>
          <w:lang w:val="es-ES"/>
        </w:rPr>
        <w:t>de la sentencia 5201/2020, de 16 de diciembre, sobre porcentaje de lenguas oficiales en los centros educativos de Cataluña</w:t>
      </w:r>
      <w:r>
        <w:rPr>
          <w:rFonts w:eastAsia="Calibri" w:cs="Times New Roman"/>
          <w:color w:val="000000"/>
          <w:sz w:val="26"/>
          <w:szCs w:val="26"/>
          <w:lang w:val="es-ES"/>
        </w:rPr>
        <w:t>, ante el Tribunal Superior de Justicia de Cataluña (TSJC).</w:t>
      </w:r>
      <w:r w:rsidR="00120151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</w:p>
    <w:p w14:paraId="730070FC" w14:textId="77777777" w:rsidR="00F333B5" w:rsidRPr="00876703" w:rsidRDefault="00F333B5" w:rsidP="00F333B5">
      <w:pPr>
        <w:rPr>
          <w:rFonts w:eastAsia="Calibri" w:cs="Times New Roman"/>
          <w:color w:val="000000"/>
          <w:sz w:val="16"/>
          <w:szCs w:val="16"/>
          <w:lang w:val="es-ES"/>
        </w:rPr>
      </w:pPr>
    </w:p>
    <w:p w14:paraId="72FB7672" w14:textId="3F29D358" w:rsidR="00F333B5" w:rsidRDefault="00F333B5" w:rsidP="00F333B5">
      <w:pPr>
        <w:rPr>
          <w:rFonts w:eastAsia="Calibri" w:cs="Times New Roman"/>
          <w:b/>
          <w:bCs/>
          <w:color w:val="000000"/>
          <w:sz w:val="26"/>
          <w:szCs w:val="26"/>
          <w:lang w:val="es-ES"/>
        </w:rPr>
      </w:pPr>
      <w:r>
        <w:rPr>
          <w:rFonts w:eastAsia="Calibri" w:cs="Times New Roman"/>
          <w:color w:val="000000"/>
          <w:sz w:val="26"/>
          <w:szCs w:val="26"/>
          <w:lang w:val="es-ES"/>
        </w:rPr>
        <w:t xml:space="preserve">La petición de ejecución forzosa defiende la legitimación de la entidad </w:t>
      </w:r>
      <w:r w:rsidR="008F63CF">
        <w:rPr>
          <w:rFonts w:eastAsia="Calibri" w:cs="Times New Roman"/>
          <w:color w:val="000000"/>
          <w:sz w:val="26"/>
          <w:szCs w:val="26"/>
          <w:lang w:val="es-ES"/>
        </w:rPr>
        <w:t xml:space="preserve">(AEB) </w:t>
      </w:r>
      <w:r>
        <w:rPr>
          <w:rFonts w:eastAsia="Calibri" w:cs="Times New Roman"/>
          <w:color w:val="000000"/>
          <w:sz w:val="26"/>
          <w:szCs w:val="26"/>
          <w:lang w:val="es-ES"/>
        </w:rPr>
        <w:t>y de l</w:t>
      </w:r>
      <w:r w:rsidR="00120151">
        <w:rPr>
          <w:rFonts w:eastAsia="Calibri" w:cs="Times New Roman"/>
          <w:color w:val="000000"/>
          <w:sz w:val="26"/>
          <w:szCs w:val="26"/>
          <w:lang w:val="es-ES"/>
        </w:rPr>
        <w:t>a</w:t>
      </w:r>
      <w:r>
        <w:rPr>
          <w:rFonts w:eastAsia="Calibri" w:cs="Times New Roman"/>
          <w:color w:val="000000"/>
          <w:sz w:val="26"/>
          <w:szCs w:val="26"/>
          <w:lang w:val="es-ES"/>
        </w:rPr>
        <w:t>s 1.643</w:t>
      </w:r>
      <w:r w:rsidRPr="005B270A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</w:t>
      </w:r>
      <w:r w:rsidR="00120151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familias y alumnos </w:t>
      </w:r>
      <w:r w:rsidR="00120151" w:rsidRPr="00120151">
        <w:rPr>
          <w:rFonts w:eastAsia="Calibri" w:cs="Times New Roman"/>
          <w:color w:val="000000"/>
          <w:sz w:val="26"/>
          <w:szCs w:val="26"/>
          <w:lang w:val="es-ES"/>
        </w:rPr>
        <w:t>que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</w:t>
      </w:r>
      <w:r w:rsidRPr="00FC6322">
        <w:rPr>
          <w:rFonts w:eastAsia="Calibri" w:cs="Times New Roman"/>
          <w:color w:val="000000"/>
          <w:sz w:val="26"/>
          <w:szCs w:val="26"/>
          <w:lang w:val="es-ES"/>
        </w:rPr>
        <w:t>forman parte del sistema educativo catalán</w:t>
      </w:r>
      <w:r w:rsidR="008F63CF">
        <w:rPr>
          <w:rFonts w:eastAsia="Calibri" w:cs="Times New Roman"/>
          <w:color w:val="000000"/>
          <w:sz w:val="26"/>
          <w:szCs w:val="26"/>
          <w:lang w:val="es-ES"/>
        </w:rPr>
        <w:t xml:space="preserve"> que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se </w:t>
      </w:r>
      <w:r w:rsidR="008F63C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declaran 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perjudicados por el incumplimiento </w:t>
      </w:r>
      <w:r w:rsidRPr="00FC6322">
        <w:rPr>
          <w:rFonts w:eastAsia="Calibri" w:cs="Times New Roman"/>
          <w:color w:val="000000"/>
          <w:sz w:val="26"/>
          <w:szCs w:val="26"/>
          <w:lang w:val="es-ES"/>
        </w:rPr>
        <w:t>de la sentencia.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</w:t>
      </w:r>
    </w:p>
    <w:p w14:paraId="33FBD9D8" w14:textId="77777777" w:rsidR="00F333B5" w:rsidRPr="00876703" w:rsidRDefault="00F333B5" w:rsidP="00F333B5">
      <w:pPr>
        <w:rPr>
          <w:rFonts w:eastAsia="Calibri" w:cs="Times New Roman"/>
          <w:b/>
          <w:bCs/>
          <w:color w:val="000000"/>
          <w:sz w:val="16"/>
          <w:szCs w:val="16"/>
          <w:lang w:val="es-ES"/>
        </w:rPr>
      </w:pPr>
    </w:p>
    <w:p w14:paraId="5FE0F2A2" w14:textId="09A69545" w:rsidR="00F333B5" w:rsidRDefault="00F333B5" w:rsidP="00F333B5">
      <w:pPr>
        <w:rPr>
          <w:rFonts w:eastAsia="Calibri" w:cs="Times New Roman"/>
          <w:color w:val="000000"/>
          <w:sz w:val="26"/>
          <w:szCs w:val="26"/>
          <w:lang w:val="es-ES"/>
        </w:rPr>
      </w:pPr>
      <w:r>
        <w:rPr>
          <w:rFonts w:eastAsia="Calibri" w:cs="Times New Roman"/>
          <w:color w:val="000000"/>
          <w:sz w:val="26"/>
          <w:szCs w:val="26"/>
          <w:lang w:val="es-ES"/>
        </w:rPr>
        <w:t xml:space="preserve">En su escrito a la Sala de los Contencioso Administrativo del TSJC, la </w:t>
      </w:r>
      <w:r w:rsidR="00120151">
        <w:rPr>
          <w:rFonts w:eastAsia="Calibri" w:cs="Times New Roman"/>
          <w:color w:val="000000"/>
          <w:sz w:val="26"/>
          <w:szCs w:val="26"/>
          <w:lang w:val="es-ES"/>
        </w:rPr>
        <w:t>demanda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 critica la contestación del Departamento de Educación a la Sala que viene a confirmar la </w:t>
      </w:r>
      <w:r w:rsidRPr="00FC6322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voluntad incumplidora del Gobierno catalán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. </w:t>
      </w:r>
      <w:r w:rsidR="008F63CF">
        <w:rPr>
          <w:rFonts w:eastAsia="Calibri" w:cs="Times New Roman"/>
          <w:color w:val="000000"/>
          <w:sz w:val="26"/>
          <w:szCs w:val="26"/>
          <w:lang w:val="es-ES"/>
        </w:rPr>
        <w:t>El escrito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 aporta, entre otras pruebas del incumplimiento de la sentencia sobre el 25% de enseñanza en lenguas oficiales, las siguientes:</w:t>
      </w:r>
    </w:p>
    <w:p w14:paraId="53C90F69" w14:textId="77777777" w:rsidR="00F333B5" w:rsidRPr="00876703" w:rsidRDefault="00F333B5" w:rsidP="00F333B5">
      <w:pPr>
        <w:rPr>
          <w:rFonts w:eastAsia="Calibri" w:cs="Times New Roman"/>
          <w:color w:val="000000"/>
          <w:sz w:val="16"/>
          <w:szCs w:val="16"/>
          <w:lang w:val="es-ES"/>
        </w:rPr>
      </w:pPr>
    </w:p>
    <w:p w14:paraId="636111D3" w14:textId="77777777" w:rsidR="00F333B5" w:rsidRPr="004836CD" w:rsidRDefault="00F333B5" w:rsidP="00F333B5">
      <w:pPr>
        <w:pStyle w:val="Prrafodelista"/>
        <w:numPr>
          <w:ilvl w:val="0"/>
          <w:numId w:val="1"/>
        </w:numPr>
        <w:rPr>
          <w:rFonts w:eastAsia="Calibri" w:cs="Times New Roman"/>
          <w:color w:val="000000"/>
          <w:sz w:val="26"/>
          <w:szCs w:val="26"/>
          <w:lang w:val="es-ES"/>
        </w:rPr>
      </w:pP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La 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literalidad 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de la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proposición 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de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ley de reforma de la Ley de Política Lingüística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presentada el 24/03/2022 en el Parlament</w:t>
      </w:r>
      <w:r>
        <w:rPr>
          <w:rFonts w:eastAsia="Calibri" w:cs="Times New Roman"/>
          <w:color w:val="000000"/>
          <w:sz w:val="26"/>
          <w:szCs w:val="26"/>
          <w:lang w:val="es-ES"/>
        </w:rPr>
        <w:t>o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catalán por ER</w:t>
      </w:r>
      <w:r>
        <w:rPr>
          <w:rFonts w:eastAsia="Calibri" w:cs="Times New Roman"/>
          <w:color w:val="000000"/>
          <w:sz w:val="26"/>
          <w:szCs w:val="26"/>
          <w:lang w:val="es-ES"/>
        </w:rPr>
        <w:t>C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>, PSC, J</w:t>
      </w:r>
      <w:r>
        <w:rPr>
          <w:rFonts w:eastAsia="Calibri" w:cs="Times New Roman"/>
          <w:color w:val="000000"/>
          <w:sz w:val="26"/>
          <w:szCs w:val="26"/>
          <w:lang w:val="es-ES"/>
        </w:rPr>
        <w:t>x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>Cat y EC</w:t>
      </w:r>
      <w:r>
        <w:rPr>
          <w:rFonts w:eastAsia="Calibri" w:cs="Times New Roman"/>
          <w:color w:val="000000"/>
          <w:sz w:val="26"/>
          <w:szCs w:val="26"/>
          <w:lang w:val="es-ES"/>
        </w:rPr>
        <w:t>P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no 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garantiza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el cumplimiento de la sentencia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5201/2020.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 Asimismo, considera intrascendentes para esta cuestión los dos documentos a los que alude el Gobierno catalán en su comunicación: un </w:t>
      </w:r>
      <w:r w:rsidRPr="00E83A78">
        <w:rPr>
          <w:rFonts w:eastAsia="Calibri" w:cs="Times New Roman"/>
          <w:i/>
          <w:iCs/>
          <w:color w:val="000000"/>
          <w:sz w:val="26"/>
          <w:szCs w:val="26"/>
          <w:lang w:val="es-ES"/>
        </w:rPr>
        <w:t>Estudio sociodemográfico y lingüístico del alumnado de 4º de ESO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, del Consell Superior d’Avaluació del Sistema Educatiu, y un informe del Síndic de Greuges sobre derechos y usos lingüísticos de niños y adolescentes.  </w:t>
      </w:r>
    </w:p>
    <w:p w14:paraId="1DF5ADF6" w14:textId="77777777" w:rsidR="00F333B5" w:rsidRPr="004836CD" w:rsidRDefault="00F333B5" w:rsidP="00F333B5">
      <w:pPr>
        <w:pStyle w:val="Prrafodelista"/>
        <w:numPr>
          <w:ilvl w:val="0"/>
          <w:numId w:val="1"/>
        </w:numPr>
        <w:rPr>
          <w:rFonts w:eastAsia="Calibri" w:cs="Times New Roman"/>
          <w:color w:val="000000"/>
          <w:sz w:val="26"/>
          <w:szCs w:val="26"/>
          <w:lang w:val="es-ES"/>
        </w:rPr>
      </w:pPr>
      <w:r>
        <w:rPr>
          <w:rFonts w:eastAsia="Calibri" w:cs="Times New Roman"/>
          <w:color w:val="000000"/>
          <w:sz w:val="26"/>
          <w:szCs w:val="26"/>
          <w:lang w:val="es-ES"/>
        </w:rPr>
        <w:t>La voluntad incumplidora del Gobierno catalán queda evidenciada en la demanda con u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na docena de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manifestaciones públicas de altos cargos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de la Generalitat, empezando por el Presidente Aragonés, descalificando la sentencia del 25% o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llamando a su incumplimiento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>.</w:t>
      </w:r>
    </w:p>
    <w:p w14:paraId="751F75D4" w14:textId="3D07E7A3" w:rsidR="00F333B5" w:rsidRPr="004836CD" w:rsidRDefault="008F63CF" w:rsidP="00F333B5">
      <w:pPr>
        <w:pStyle w:val="Prrafodelista"/>
        <w:numPr>
          <w:ilvl w:val="0"/>
          <w:numId w:val="1"/>
        </w:numPr>
        <w:rPr>
          <w:rFonts w:eastAsia="Calibri" w:cs="Times New Roman"/>
          <w:color w:val="000000"/>
          <w:sz w:val="26"/>
          <w:szCs w:val="26"/>
          <w:lang w:val="es-ES"/>
        </w:rPr>
      </w:pPr>
      <w:r>
        <w:rPr>
          <w:rFonts w:eastAsia="Calibri" w:cs="Times New Roman"/>
          <w:color w:val="000000"/>
          <w:sz w:val="26"/>
          <w:szCs w:val="26"/>
          <w:lang w:val="es-ES"/>
        </w:rPr>
        <w:t>Los</w:t>
      </w:r>
      <w:r w:rsidR="00F333B5"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  <w:r w:rsidR="00F333B5"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proyectos lingüísticos de 300 centros</w:t>
      </w:r>
      <w:r w:rsidR="00F333B5"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educativos </w:t>
      </w:r>
      <w:r w:rsidR="00F333B5">
        <w:rPr>
          <w:rFonts w:eastAsia="Calibri" w:cs="Times New Roman"/>
          <w:color w:val="000000"/>
          <w:sz w:val="26"/>
          <w:szCs w:val="26"/>
          <w:lang w:val="es-ES"/>
        </w:rPr>
        <w:t xml:space="preserve">que consideran al catalán como única lengua vehicular. </w:t>
      </w:r>
    </w:p>
    <w:p w14:paraId="52F84073" w14:textId="77777777" w:rsidR="00F333B5" w:rsidRDefault="00F333B5" w:rsidP="00F333B5">
      <w:pPr>
        <w:pStyle w:val="Prrafodelista"/>
        <w:numPr>
          <w:ilvl w:val="0"/>
          <w:numId w:val="1"/>
        </w:numPr>
        <w:rPr>
          <w:rFonts w:cs="Times New Roman"/>
          <w:sz w:val="26"/>
          <w:szCs w:val="26"/>
          <w:lang w:val="es-ES"/>
        </w:rPr>
      </w:pPr>
      <w:r w:rsidRPr="00FC6322">
        <w:rPr>
          <w:rFonts w:eastAsia="Calibri" w:cs="Times New Roman"/>
          <w:color w:val="000000"/>
          <w:sz w:val="26"/>
          <w:szCs w:val="26"/>
          <w:lang w:val="es-ES"/>
        </w:rPr>
        <w:t>También ha adjuntado la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res</w:t>
      </w:r>
      <w:r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olución de inadmisión </w:t>
      </w:r>
      <w:r w:rsidRPr="006E609F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del Departamento de Educación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a la 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solicitud de información 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de la presidenta de la AEB 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sobre la modificación de 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los </w:t>
      </w:r>
      <w:r w:rsidRPr="006E609F">
        <w:rPr>
          <w:rFonts w:cs="Times New Roman"/>
          <w:b/>
          <w:bCs/>
          <w:sz w:val="26"/>
          <w:szCs w:val="26"/>
          <w:lang w:val="es-ES"/>
        </w:rPr>
        <w:t>proyectos lingüísticos</w:t>
      </w:r>
      <w:r>
        <w:rPr>
          <w:rFonts w:cs="Times New Roman"/>
          <w:b/>
          <w:bCs/>
          <w:sz w:val="26"/>
          <w:szCs w:val="26"/>
          <w:lang w:val="es-ES"/>
        </w:rPr>
        <w:t xml:space="preserve">. </w:t>
      </w:r>
      <w:r w:rsidRPr="00FC6322">
        <w:rPr>
          <w:rFonts w:cs="Times New Roman"/>
          <w:sz w:val="26"/>
          <w:szCs w:val="26"/>
          <w:lang w:val="es-ES"/>
        </w:rPr>
        <w:t>La Secretaria General del Departamento ha considerado que:</w:t>
      </w:r>
      <w:r w:rsidRPr="004836CD">
        <w:rPr>
          <w:rFonts w:cs="Times New Roman"/>
          <w:sz w:val="26"/>
          <w:szCs w:val="26"/>
          <w:lang w:val="es-ES"/>
        </w:rPr>
        <w:t xml:space="preserve"> “</w:t>
      </w:r>
      <w:r w:rsidRPr="004836CD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  <w:r w:rsidRPr="004836CD">
        <w:rPr>
          <w:rFonts w:cs="Times New Roman"/>
          <w:i/>
          <w:iCs/>
          <w:sz w:val="26"/>
          <w:szCs w:val="26"/>
          <w:lang w:val="es-ES"/>
        </w:rPr>
        <w:t xml:space="preserve">la recopilación de la información y la documentación solicitada requiere de </w:t>
      </w:r>
      <w:r w:rsidRPr="00C52054">
        <w:rPr>
          <w:rFonts w:cs="Times New Roman"/>
          <w:i/>
          <w:iCs/>
          <w:sz w:val="26"/>
          <w:szCs w:val="26"/>
          <w:lang w:val="es-ES"/>
        </w:rPr>
        <w:t>una</w:t>
      </w:r>
      <w:r w:rsidRPr="006E609F">
        <w:rPr>
          <w:rFonts w:cs="Times New Roman"/>
          <w:b/>
          <w:bCs/>
          <w:i/>
          <w:iCs/>
          <w:sz w:val="26"/>
          <w:szCs w:val="26"/>
          <w:lang w:val="es-ES"/>
        </w:rPr>
        <w:t xml:space="preserve"> tarea compleja de elaboración que los servicios centrales del Departamento no pueden asumir</w:t>
      </w:r>
      <w:r w:rsidRPr="004836CD">
        <w:rPr>
          <w:rFonts w:cs="Times New Roman"/>
          <w:sz w:val="26"/>
          <w:szCs w:val="26"/>
          <w:lang w:val="es-ES"/>
        </w:rPr>
        <w:t>”.</w:t>
      </w:r>
    </w:p>
    <w:p w14:paraId="18CD4E20" w14:textId="77777777" w:rsidR="00F333B5" w:rsidRPr="0032432D" w:rsidRDefault="00F333B5" w:rsidP="00F333B5">
      <w:pPr>
        <w:rPr>
          <w:rFonts w:eastAsia="Calibri" w:cs="Times New Roman"/>
          <w:color w:val="000000"/>
          <w:sz w:val="16"/>
          <w:szCs w:val="16"/>
          <w:lang w:val="es-ES"/>
        </w:rPr>
      </w:pPr>
    </w:p>
    <w:p w14:paraId="173AED01" w14:textId="77777777" w:rsidR="00F333B5" w:rsidRDefault="00F333B5" w:rsidP="00F333B5">
      <w:pPr>
        <w:rPr>
          <w:rFonts w:eastAsia="Calibri" w:cs="Times New Roman"/>
          <w:color w:val="000000"/>
          <w:sz w:val="26"/>
          <w:szCs w:val="26"/>
          <w:lang w:val="es-ES"/>
        </w:rPr>
      </w:pPr>
      <w:r>
        <w:rPr>
          <w:rFonts w:eastAsia="Calibri" w:cs="Times New Roman"/>
          <w:color w:val="000000"/>
          <w:sz w:val="26"/>
          <w:szCs w:val="26"/>
          <w:lang w:val="es-ES"/>
        </w:rPr>
        <w:t xml:space="preserve">La demanda de ejecución forzosa concluye con una serie de requerimientos y advertencias al Consejero de Educación, que a continuación se resumen: </w:t>
      </w:r>
    </w:p>
    <w:p w14:paraId="4AA30EDD" w14:textId="77777777" w:rsidR="00F333B5" w:rsidRPr="0032432D" w:rsidRDefault="00F333B5" w:rsidP="00F333B5">
      <w:pPr>
        <w:textAlignment w:val="baseline"/>
        <w:rPr>
          <w:rFonts w:eastAsia="Calibri" w:cs="Times New Roman"/>
          <w:b/>
          <w:bCs/>
          <w:color w:val="000000"/>
          <w:sz w:val="16"/>
          <w:szCs w:val="16"/>
          <w:lang w:val="es-ES"/>
        </w:rPr>
      </w:pPr>
    </w:p>
    <w:p w14:paraId="6C7E0368" w14:textId="77777777" w:rsidR="00F333B5" w:rsidRDefault="00F333B5" w:rsidP="00F333B5">
      <w:pPr>
        <w:pStyle w:val="Prrafodelista"/>
        <w:numPr>
          <w:ilvl w:val="0"/>
          <w:numId w:val="2"/>
        </w:numPr>
        <w:textAlignment w:val="baseline"/>
        <w:rPr>
          <w:rFonts w:eastAsia="Calibri" w:cs="Times New Roman"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Requerir al Consejero de Educación (…) 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para que 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se garantice el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derecho de todos los alumnos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a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recibir la enseñanza mediante la utilización vehicular normal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de las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dos lenguas oficiales, esto es el castellano y el catalán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>, en porcentajes que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no pueden ser inferiores al 25%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en cada una de estas lenguas. A esos efectos, se deberá ordenar al Departamento de Educación (…) se disponga que todos los centros educativos catalanes:</w:t>
      </w:r>
    </w:p>
    <w:p w14:paraId="3955A5CB" w14:textId="77777777" w:rsidR="00F333B5" w:rsidRPr="00EB521E" w:rsidRDefault="00F333B5" w:rsidP="00F333B5">
      <w:pPr>
        <w:pStyle w:val="Prrafodelista"/>
        <w:ind w:left="502"/>
        <w:textAlignment w:val="baseline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25C61DB6" w14:textId="77777777" w:rsidR="00F333B5" w:rsidRPr="00EB521E" w:rsidRDefault="00F333B5" w:rsidP="00F333B5">
      <w:pPr>
        <w:pStyle w:val="Prrafodelista"/>
        <w:ind w:left="1134"/>
        <w:textAlignment w:val="baseline"/>
        <w:rPr>
          <w:rFonts w:eastAsia="Calibri" w:cs="Times New Roman"/>
          <w:strike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- Procedan a modificar sus proyectos lingüísticos de manera que se recoja expresamente la condición del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castellano y del catalán como  lenguas vehiculares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(…). </w:t>
      </w:r>
    </w:p>
    <w:p w14:paraId="3C6E951A" w14:textId="77777777" w:rsidR="00F333B5" w:rsidRPr="00EB521E" w:rsidRDefault="00F333B5" w:rsidP="00F333B5">
      <w:pPr>
        <w:pStyle w:val="Prrafodelista"/>
        <w:ind w:left="1134"/>
        <w:textAlignment w:val="baseline"/>
        <w:rPr>
          <w:rFonts w:eastAsia="Calibri" w:cs="Times New Roman"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-Aprueben una programación para que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en todos los cursos 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>se impartan de manera efectiva al menos el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 xml:space="preserve"> 25% de las asignaturas o materias o actividades de carácter troncal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o análog</w:t>
      </w:r>
      <w:r>
        <w:rPr>
          <w:rFonts w:eastAsia="Calibri" w:cs="Times New Roman"/>
          <w:color w:val="000000"/>
          <w:sz w:val="26"/>
          <w:szCs w:val="26"/>
          <w:lang w:val="es-ES"/>
        </w:rPr>
        <w:t>as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en cada una de las lenguas oficiales.</w:t>
      </w:r>
    </w:p>
    <w:p w14:paraId="795AD2F2" w14:textId="77777777" w:rsidR="00F333B5" w:rsidRPr="00EB521E" w:rsidRDefault="00F333B5" w:rsidP="00F333B5">
      <w:pPr>
        <w:pStyle w:val="Prrafodelista"/>
        <w:ind w:left="1134"/>
        <w:textAlignment w:val="baseline"/>
        <w:rPr>
          <w:rFonts w:eastAsia="Calibri" w:cs="Times New Roman"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-Contemplen que el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material didáctico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necesario se deberá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corresponder con la lengua docente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y eso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también afectará a las pruebas de evaluación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</w:p>
    <w:p w14:paraId="2C5B7937" w14:textId="77777777" w:rsidR="00F333B5" w:rsidRPr="0032432D" w:rsidRDefault="00F333B5" w:rsidP="00F333B5">
      <w:pPr>
        <w:textAlignment w:val="baseline"/>
        <w:rPr>
          <w:rFonts w:eastAsia="Calibri" w:cs="Times New Roman"/>
          <w:b/>
          <w:bCs/>
          <w:strike/>
          <w:color w:val="000000"/>
          <w:sz w:val="16"/>
          <w:szCs w:val="16"/>
          <w:lang w:val="es-ES"/>
        </w:rPr>
      </w:pPr>
    </w:p>
    <w:p w14:paraId="4C45EAA7" w14:textId="77777777" w:rsidR="00F333B5" w:rsidRPr="00EB521E" w:rsidRDefault="00F333B5" w:rsidP="00F333B5">
      <w:pPr>
        <w:pStyle w:val="Prrafodelista"/>
        <w:numPr>
          <w:ilvl w:val="0"/>
          <w:numId w:val="2"/>
        </w:numPr>
        <w:textAlignment w:val="baseline"/>
        <w:rPr>
          <w:rFonts w:eastAsia="Calibri" w:cs="Times New Roman"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Determinar un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plazo máximo de un mes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para la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 xml:space="preserve"> modificación de los proyectos lingüísticos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(…). </w:t>
      </w:r>
    </w:p>
    <w:p w14:paraId="3147E0EF" w14:textId="77777777" w:rsidR="00F333B5" w:rsidRPr="00EB521E" w:rsidRDefault="00F333B5" w:rsidP="00F333B5">
      <w:pPr>
        <w:pStyle w:val="Prrafodelista"/>
        <w:numPr>
          <w:ilvl w:val="0"/>
          <w:numId w:val="2"/>
        </w:numPr>
        <w:textAlignment w:val="baseline"/>
        <w:rPr>
          <w:rFonts w:eastAsia="Calibri" w:cs="Times New Roman"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Requerir al Consejero de Educación para que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aporte certificado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con el porcentaje de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horas lectivas en castellano y en catalán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en cada centro educativo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(…), de manera que el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 xml:space="preserve">cómputo de horas lectivo-curriculares se ajuste al porcentaje de 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>un mínimo del 25 % en catalán y en castellano como lenguas vehiculares y de aprendizaje.</w:t>
      </w:r>
    </w:p>
    <w:p w14:paraId="2D8D099E" w14:textId="77777777" w:rsidR="00F333B5" w:rsidRPr="00EB521E" w:rsidRDefault="00F333B5" w:rsidP="00F333B5">
      <w:pPr>
        <w:pStyle w:val="Prrafodelista"/>
        <w:numPr>
          <w:ilvl w:val="0"/>
          <w:numId w:val="2"/>
        </w:numPr>
        <w:textAlignment w:val="baseline"/>
        <w:rPr>
          <w:rFonts w:eastAsia="Calibri" w:cs="Times New Roman"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Requerir al </w:t>
      </w:r>
      <w:r w:rsidRPr="00EB521E">
        <w:rPr>
          <w:rFonts w:eastAsia="Calibri" w:cs="Times New Roman"/>
          <w:sz w:val="26"/>
          <w:szCs w:val="26"/>
          <w:lang w:val="es-ES"/>
        </w:rPr>
        <w:t xml:space="preserve">Consejero de Educación 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para que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aporte certificado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extendido por el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director o directora de cada centro educativo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</w:t>
      </w:r>
      <w:r>
        <w:rPr>
          <w:rFonts w:eastAsia="Calibri" w:cs="Times New Roman"/>
          <w:color w:val="000000"/>
          <w:sz w:val="26"/>
          <w:szCs w:val="26"/>
          <w:lang w:val="es-ES"/>
        </w:rPr>
        <w:t xml:space="preserve">y visado por la Inspección de educación 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con los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porcentajes de castellano y de catalán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que se imparten en cada centro como lenguas vehiculares (…).</w:t>
      </w:r>
    </w:p>
    <w:p w14:paraId="16B6AF3E" w14:textId="77777777" w:rsidR="00F333B5" w:rsidRPr="00EB521E" w:rsidRDefault="00F333B5" w:rsidP="00F333B5">
      <w:pPr>
        <w:pStyle w:val="Prrafodelista"/>
        <w:numPr>
          <w:ilvl w:val="0"/>
          <w:numId w:val="2"/>
        </w:numPr>
        <w:textAlignment w:val="baseline"/>
        <w:rPr>
          <w:rFonts w:eastAsia="Calibri" w:cs="Times New Roman"/>
          <w:strike/>
          <w:color w:val="000000"/>
          <w:sz w:val="26"/>
          <w:szCs w:val="26"/>
          <w:lang w:val="es-ES"/>
        </w:rPr>
      </w:pP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Advertir al </w:t>
      </w:r>
      <w:r w:rsidRPr="00EB521E">
        <w:rPr>
          <w:rFonts w:eastAsia="Calibri" w:cs="Times New Roman"/>
          <w:sz w:val="26"/>
          <w:szCs w:val="26"/>
          <w:lang w:val="es-ES"/>
        </w:rPr>
        <w:t xml:space="preserve">Consejero de Educación 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que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en caso de incumplimiento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(…) se derivarán las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pertinentes responsabilidades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y que en caso de que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el director o directora del correspondiente centro educativo no promueva los cambios necesarios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en los proyectos lingüísticos (…) o </w:t>
      </w:r>
      <w:r w:rsidRPr="00EB521E">
        <w:rPr>
          <w:rFonts w:eastAsia="Calibri" w:cs="Times New Roman"/>
          <w:color w:val="000000"/>
          <w:sz w:val="26"/>
          <w:szCs w:val="26"/>
          <w:u w:val="single"/>
          <w:lang w:val="es-ES"/>
        </w:rPr>
        <w:t>no extienda el certificado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se les advierta de que </w:t>
      </w:r>
      <w:r w:rsidRPr="00EB521E">
        <w:rPr>
          <w:rFonts w:eastAsia="Calibri" w:cs="Times New Roman"/>
          <w:b/>
          <w:bCs/>
          <w:color w:val="000000"/>
          <w:sz w:val="26"/>
          <w:szCs w:val="26"/>
          <w:lang w:val="es-ES"/>
        </w:rPr>
        <w:t>pueden incurrir en responsabilidades penales</w:t>
      </w:r>
      <w:r w:rsidRPr="00EB521E">
        <w:rPr>
          <w:rFonts w:eastAsia="Calibri" w:cs="Times New Roman"/>
          <w:color w:val="000000"/>
          <w:sz w:val="26"/>
          <w:szCs w:val="26"/>
          <w:lang w:val="es-ES"/>
        </w:rPr>
        <w:t xml:space="preserve"> así como hacer frente a la indemnización de daños y perjuicios (…). </w:t>
      </w:r>
    </w:p>
    <w:p w14:paraId="796DA3E1" w14:textId="77777777" w:rsidR="00F333B5" w:rsidRPr="00F95633" w:rsidRDefault="00F333B5" w:rsidP="00F333B5">
      <w:pPr>
        <w:rPr>
          <w:rFonts w:eastAsia="Calibri" w:cs="Times New Roman"/>
          <w:color w:val="000000"/>
          <w:sz w:val="16"/>
          <w:szCs w:val="16"/>
          <w:lang w:val="es-ES"/>
        </w:rPr>
      </w:pPr>
    </w:p>
    <w:p w14:paraId="7E34DE14" w14:textId="77777777" w:rsidR="00F333B5" w:rsidRPr="00F95633" w:rsidRDefault="00F333B5" w:rsidP="00F333B5">
      <w:pPr>
        <w:rPr>
          <w:rFonts w:eastAsia="Calibri" w:cs="Times New Roman"/>
          <w:color w:val="000000"/>
          <w:sz w:val="16"/>
          <w:szCs w:val="16"/>
          <w:lang w:val="es-ES"/>
        </w:rPr>
      </w:pPr>
    </w:p>
    <w:p w14:paraId="4D38A278" w14:textId="77777777" w:rsidR="00F333B5" w:rsidRDefault="00F333B5" w:rsidP="00F333B5">
      <w:pPr>
        <w:jc w:val="right"/>
        <w:rPr>
          <w:rFonts w:eastAsia="Calibri" w:cs="Times New Roman"/>
          <w:color w:val="000000"/>
          <w:sz w:val="26"/>
          <w:szCs w:val="26"/>
          <w:lang w:val="es-ES"/>
        </w:rPr>
      </w:pPr>
      <w:r>
        <w:rPr>
          <w:rFonts w:eastAsia="Calibri" w:cs="Times New Roman"/>
          <w:color w:val="000000"/>
          <w:sz w:val="26"/>
          <w:szCs w:val="26"/>
          <w:lang w:val="es-ES"/>
        </w:rPr>
        <w:t xml:space="preserve"> Barcelona, 30 de marzo de 2022</w:t>
      </w:r>
    </w:p>
    <w:p w14:paraId="10BDC384" w14:textId="77777777" w:rsidR="00F333B5" w:rsidRDefault="00F333B5" w:rsidP="00F333B5">
      <w:pPr>
        <w:jc w:val="left"/>
        <w:rPr>
          <w:rFonts w:eastAsia="Calibri" w:cs="Times New Roman"/>
          <w:color w:val="000000"/>
          <w:sz w:val="16"/>
          <w:szCs w:val="16"/>
          <w:lang w:val="es-ES"/>
        </w:rPr>
      </w:pPr>
    </w:p>
    <w:p w14:paraId="1A87A836" w14:textId="77777777" w:rsidR="00F333B5" w:rsidRDefault="00F333B5" w:rsidP="00F333B5">
      <w:pPr>
        <w:jc w:val="left"/>
        <w:rPr>
          <w:rFonts w:eastAsia="Calibri" w:cs="Times New Roman"/>
          <w:color w:val="000000"/>
          <w:sz w:val="16"/>
          <w:szCs w:val="16"/>
          <w:lang w:val="es-ES"/>
        </w:rPr>
      </w:pPr>
    </w:p>
    <w:p w14:paraId="614CEDB1" w14:textId="77777777" w:rsidR="00F333B5" w:rsidRPr="00DC7479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5F47837A" w14:textId="77777777" w:rsidR="00F333B5" w:rsidRPr="00DC7479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558BD9E7" w14:textId="77777777" w:rsidR="00F333B5" w:rsidRPr="00DC7479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7133530C" w14:textId="77777777" w:rsidR="00F333B5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5905F549" w14:textId="77777777" w:rsidR="00F333B5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549FCA29" w14:textId="77777777" w:rsidR="00F333B5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111B5C2B" w14:textId="77777777" w:rsidR="00F333B5" w:rsidRPr="00DC7479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61AB85DB" w14:textId="77777777" w:rsidR="00F333B5" w:rsidRPr="00DC7479" w:rsidRDefault="00F333B5" w:rsidP="00F333B5">
      <w:pPr>
        <w:jc w:val="left"/>
        <w:rPr>
          <w:rFonts w:eastAsia="Calibri" w:cs="Times New Roman"/>
          <w:color w:val="000000"/>
          <w:sz w:val="10"/>
          <w:szCs w:val="10"/>
          <w:lang w:val="es-ES"/>
        </w:rPr>
      </w:pPr>
    </w:p>
    <w:p w14:paraId="248649E4" w14:textId="0969917E" w:rsidR="00205926" w:rsidRPr="00F333B5" w:rsidRDefault="00AC2E10" w:rsidP="00F333B5">
      <w:pPr>
        <w:jc w:val="center"/>
        <w:rPr>
          <w:rFonts w:eastAsia="Calibri" w:cs="Times New Roman"/>
          <w:color w:val="000000"/>
          <w:sz w:val="22"/>
          <w:szCs w:val="22"/>
          <w:lang w:val="es-ES"/>
        </w:rPr>
      </w:pPr>
      <w:hyperlink r:id="rId8" w:history="1">
        <w:r w:rsidR="00F333B5" w:rsidRPr="00E83A78">
          <w:rPr>
            <w:rStyle w:val="Hipervnculo"/>
            <w:rFonts w:eastAsia="Calibri" w:cs="Times New Roman"/>
            <w:color w:val="01035B"/>
            <w:sz w:val="22"/>
            <w:szCs w:val="22"/>
            <w:lang w:val="es-ES"/>
          </w:rPr>
          <w:t>www.escueladetodosya@gmail.com</w:t>
        </w:r>
      </w:hyperlink>
      <w:r w:rsidR="00F333B5" w:rsidRPr="00E83A78">
        <w:rPr>
          <w:rFonts w:eastAsia="Calibri" w:cs="Times New Roman"/>
          <w:color w:val="01035B"/>
          <w:sz w:val="22"/>
          <w:szCs w:val="22"/>
          <w:lang w:val="es-ES"/>
        </w:rPr>
        <w:t xml:space="preserve">                             </w:t>
      </w:r>
    </w:p>
    <w:sectPr w:rsidR="00205926" w:rsidRPr="00F333B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055B" w14:textId="77777777" w:rsidR="00AC2E10" w:rsidRDefault="00AC2E10">
      <w:r>
        <w:separator/>
      </w:r>
    </w:p>
  </w:endnote>
  <w:endnote w:type="continuationSeparator" w:id="0">
    <w:p w14:paraId="363D71E0" w14:textId="77777777" w:rsidR="00AC2E10" w:rsidRDefault="00A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599260"/>
      <w:docPartObj>
        <w:docPartGallery w:val="Page Numbers (Bottom of Page)"/>
        <w:docPartUnique/>
      </w:docPartObj>
    </w:sdtPr>
    <w:sdtEndPr/>
    <w:sdtContent>
      <w:p w14:paraId="0A28A1C3" w14:textId="77777777" w:rsidR="00F209D5" w:rsidRDefault="00F333B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D2712F" w14:textId="77777777" w:rsidR="00F209D5" w:rsidRDefault="00AC2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884E" w14:textId="77777777" w:rsidR="00AC2E10" w:rsidRDefault="00AC2E10">
      <w:r>
        <w:separator/>
      </w:r>
    </w:p>
  </w:footnote>
  <w:footnote w:type="continuationSeparator" w:id="0">
    <w:p w14:paraId="7DA21FD6" w14:textId="77777777" w:rsidR="00AC2E10" w:rsidRDefault="00AC2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2E1F"/>
    <w:multiLevelType w:val="hybridMultilevel"/>
    <w:tmpl w:val="CA2A4DEC"/>
    <w:lvl w:ilvl="0" w:tplc="CD748AB0">
      <w:start w:val="1"/>
      <w:numFmt w:val="bullet"/>
      <w:lvlText w:val=""/>
      <w:lvlJc w:val="left"/>
      <w:pPr>
        <w:ind w:left="502" w:hanging="360"/>
      </w:pPr>
      <w:rPr>
        <w:rFonts w:ascii="Franklin Gothic Book" w:hAnsi="Franklin Gothic Book" w:hint="default"/>
        <w:b w:val="0"/>
        <w:i w:val="0"/>
        <w:strike w:val="0"/>
        <w:color w:val="005D7A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10242"/>
    <w:multiLevelType w:val="hybridMultilevel"/>
    <w:tmpl w:val="042EDBBC"/>
    <w:lvl w:ilvl="0" w:tplc="711CB5B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005D7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B5"/>
    <w:rsid w:val="00120151"/>
    <w:rsid w:val="00205926"/>
    <w:rsid w:val="006C5615"/>
    <w:rsid w:val="00847D72"/>
    <w:rsid w:val="008F63CF"/>
    <w:rsid w:val="00AC2E10"/>
    <w:rsid w:val="00F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CAF8"/>
  <w15:chartTrackingRefBased/>
  <w15:docId w15:val="{407314E3-AB36-4B70-B1AE-2BFAE84E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B5"/>
    <w:pPr>
      <w:spacing w:after="0" w:line="240" w:lineRule="auto"/>
      <w:jc w:val="both"/>
    </w:pPr>
    <w:rPr>
      <w:rFonts w:eastAsiaTheme="minorEastAsia" w:cstheme="minorBid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3B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333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3B5"/>
    <w:rPr>
      <w:rFonts w:eastAsiaTheme="minorEastAsia" w:cstheme="minorBidi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33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ueladetodosy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</dc:creator>
  <cp:keywords/>
  <dc:description/>
  <cp:lastModifiedBy>Ana Losada Fernandez</cp:lastModifiedBy>
  <cp:revision>2</cp:revision>
  <dcterms:created xsi:type="dcterms:W3CDTF">2022-03-30T14:30:00Z</dcterms:created>
  <dcterms:modified xsi:type="dcterms:W3CDTF">2022-03-30T14:30:00Z</dcterms:modified>
</cp:coreProperties>
</file>